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广西田七家化实业有限公司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碳酸钙、黄原胶、二氧化硅等公开询价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广西田七家化实业有限公司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以下简称询价方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现拟定于202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日进行碳酸钙、黄原胶等公开询价采购项目。现将具体事宜公告如下：</w:t>
      </w:r>
    </w:p>
    <w:p>
      <w:pPr>
        <w:spacing w:line="560" w:lineRule="exact"/>
        <w:ind w:firstLine="642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一、采购项目概况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（一）采购需求</w:t>
      </w:r>
    </w:p>
    <w:p>
      <w:pPr>
        <w:pStyle w:val="15"/>
        <w:spacing w:line="560" w:lineRule="exact"/>
        <w:ind w:firstLine="644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详见附件1《碳酸钙、黄原胶、二氧化硅等需求品种明细》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（二）质量要求</w:t>
      </w:r>
    </w:p>
    <w:p>
      <w:pPr>
        <w:pStyle w:val="15"/>
        <w:spacing w:line="560" w:lineRule="exact"/>
        <w:ind w:left="844"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.产品应符合询价方企业标准的要求。</w:t>
      </w:r>
    </w:p>
    <w:p>
      <w:pPr>
        <w:pStyle w:val="15"/>
        <w:spacing w:line="560" w:lineRule="exact"/>
        <w:ind w:left="844"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.产品品质需符合询价方的验收标准。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（三）交货要求</w:t>
      </w:r>
    </w:p>
    <w:p>
      <w:pPr>
        <w:pStyle w:val="15"/>
        <w:spacing w:line="560" w:lineRule="exact"/>
        <w:ind w:firstLine="644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合同签订后，按询价方实际要求到货，将货物送到询价方指定的仓库地点（广西梧州工业园区一路一号广西田七家化实业有限公司仓库）。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二、报价方需具备的资质及要求</w:t>
      </w:r>
    </w:p>
    <w:p>
      <w:pPr>
        <w:pStyle w:val="15"/>
        <w:spacing w:line="560" w:lineRule="exact"/>
        <w:ind w:firstLine="644"/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kern w:val="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eastAsia="zh-CN"/>
        </w:rPr>
        <w:t>基本资格要求</w:t>
      </w:r>
    </w:p>
    <w:p>
      <w:pPr>
        <w:pStyle w:val="23"/>
        <w:spacing w:before="0" w:after="0" w:line="560" w:lineRule="exact"/>
        <w:ind w:firstLine="706" w:firstLineChars="22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报价方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须为国内依法注册的法人或者其他组织；</w:t>
      </w:r>
    </w:p>
    <w:p>
      <w:pPr>
        <w:pStyle w:val="23"/>
        <w:spacing w:before="0" w:after="0" w:line="560" w:lineRule="exact"/>
        <w:ind w:firstLine="706" w:firstLineChars="22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报价方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eastAsia="zh-CN"/>
        </w:rPr>
        <w:t>没有处于被责令停业，财产被接管、冻结及破产状态；</w:t>
      </w:r>
    </w:p>
    <w:p>
      <w:pPr>
        <w:pStyle w:val="15"/>
        <w:spacing w:line="560" w:lineRule="exact"/>
        <w:ind w:firstLine="644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专项资格要求</w:t>
      </w:r>
    </w:p>
    <w:p>
      <w:pPr>
        <w:pStyle w:val="15"/>
        <w:spacing w:line="560" w:lineRule="exact"/>
        <w:ind w:firstLine="644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1.列入询价方合格供应商名录；</w:t>
      </w:r>
    </w:p>
    <w:p>
      <w:pPr>
        <w:pStyle w:val="15"/>
        <w:spacing w:line="560" w:lineRule="exact"/>
        <w:ind w:firstLine="644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2.非列入询价方合格供应商名录，则须按照附件2要求提供资质，并可提供样品（数量视物料性质而定）进行检测，如检测合格后进行生产适应性调整，我司将根据测试结果优先纳入合格供应商名录管理。</w:t>
      </w:r>
    </w:p>
    <w:p>
      <w:pPr>
        <w:pStyle w:val="15"/>
        <w:spacing w:line="560" w:lineRule="exact"/>
        <w:ind w:firstLine="644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3.非询价方合格供应商名录的，无法参与本次项目询价。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  <w:t>三、中标单位的确定</w:t>
      </w:r>
    </w:p>
    <w:p>
      <w:pPr>
        <w:pStyle w:val="2"/>
        <w:spacing w:line="560" w:lineRule="exact"/>
        <w:ind w:firstLine="642" w:firstLineChars="200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（一）评分原则</w:t>
      </w:r>
    </w:p>
    <w:p>
      <w:pPr>
        <w:pStyle w:val="2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1.“审评小组”构成：由询价方派遣5人或5人以上单数构成。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2.评审依据：本采购项目遵循“综合得分最高法”原则。</w:t>
      </w:r>
    </w:p>
    <w:p>
      <w:pPr>
        <w:pStyle w:val="2"/>
        <w:spacing w:line="560" w:lineRule="exact"/>
        <w:ind w:firstLine="642" w:firstLineChars="200"/>
        <w:rPr>
          <w:rFonts w:hint="default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（二）评分方法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566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566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评分方式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（60分）</w:t>
            </w:r>
          </w:p>
        </w:tc>
        <w:tc>
          <w:tcPr>
            <w:tcW w:w="5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计算报价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的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价时将以扣除可抵扣增值税税金后的价格作为报价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的评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价格：若报价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未明确报价所包含的税率及发票类型，评标时按税金不能抵扣处理。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当有效报价为小于等于5家时，取有效报价的平均值为评标基准价。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当有效报价大于5家时，去掉一个最高报价和一个最低报价，如果出现并列最高或最低评报价的情况，在计算基准价时只去掉其中一个最高或最低报价，以下类推。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其计算方法为：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a.所有有效报价算术平均值即为基准价（记为A），计算公式：评标基准价A=所有有效报价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评标价之和/有效报价单位数；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b.计算报价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评标价格的偏差率Z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2" w:firstLineChars="25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Z=（X-A）/A*100%；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c.依据报价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评标价格的偏差率Z，确定报价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报价得分如下：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当Z=0时，得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当Z＞0时，则报价得分在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0分的基础上，Z每增加1个百分点，则扣减1分。计算公式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Si=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0-（Z×100×1）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当Z＜0时，则报价得分在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0分的基础上，Z每减少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个百分点，则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加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1分。计算公式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Si=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0-（Z×100×1）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Si为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报价方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价格分值，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X为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报价方</w:t>
            </w:r>
            <w:r>
              <w:rPr>
                <w:rStyle w:val="24"/>
                <w:rFonts w:hint="eastAsia" w:ascii="仿宋_GB2312" w:hAnsi="仿宋_GB2312" w:eastAsia="仿宋_GB2312" w:cs="仿宋_GB2312"/>
                <w:sz w:val="24"/>
                <w:szCs w:val="24"/>
              </w:rPr>
              <w:t>评标价格，A为基准价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restart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5664" w:type="dxa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供货周期：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（1）供货周期为0-7天，得10分；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（2）供货周期为8-10天，得5分；</w:t>
            </w:r>
          </w:p>
          <w:p>
            <w:pPr>
              <w:pStyle w:val="2"/>
              <w:spacing w:line="56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（3）供货周期为11-15天，得0分；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64" w:type="dxa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（1）报价方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提供的质保期和售后服务承诺完整优秀，符合项目实际情况，能满足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询价方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的要求得10-7分；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（2）报价方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提供的质保期和售后服务承诺完整良好，符合项目实际情况，基本能满足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询价方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的要求得6.9-3分；</w:t>
            </w:r>
          </w:p>
          <w:p>
            <w:pPr>
              <w:pStyle w:val="2"/>
              <w:spacing w:line="560" w:lineRule="exact"/>
              <w:jc w:val="both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（3）报价方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提供的质保期和售后服务承诺一般，不能满足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询价方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的要求得2.9-0分；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Merge w:val="continue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64" w:type="dxa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产品检测能力：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所报价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产品提供连续三年的第三方检测机构出具的产品合格检测报告得1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分，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提供连续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年第三方检测机构出具的产品合格检测报告得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分，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年的第三方检测机构出具的产品合格检测报告得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分。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商务</w:t>
            </w:r>
          </w:p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5664" w:type="dxa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付款方式及周期：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货到检验合格90天电汇结算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，得10分；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货到检验合格60天电汇结算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货到检验合格30天电汇结算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预付30%合同金额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分；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预付100%合同金额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分；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</w:tbl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（三）确定中标单位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综合分由高到低排序依次排名，综合得分最高的排名为第一的报价方，则为中选单位，如中选单位因不可抗力提出不能履行，询价方可确定排名第二的报价方为中选人，以此类推。</w:t>
      </w:r>
    </w:p>
    <w:p>
      <w:pPr>
        <w:pStyle w:val="2"/>
        <w:spacing w:line="560" w:lineRule="exact"/>
        <w:ind w:firstLine="642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如综合得分相同时，以报价（以无税单价为准）低的优先；报价（以无税单价为准）也相同的，以技术得分高的优先；如果技术得分也相同，以商务得分高的优先。</w:t>
      </w:r>
    </w:p>
    <w:p>
      <w:pPr>
        <w:spacing w:line="560" w:lineRule="exact"/>
        <w:ind w:firstLine="642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、报价须知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（一）报价截止时间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自本公告发布之日起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天（含周六日）后截止报价，如产品价格发生变动可更新报价单，以收到的最新报价单为准。</w:t>
      </w: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（二）报价要求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报价必须提供的文件如下（以下文件需一式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份，均要求加盖公章）：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）详见附件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《供应商资质文件》；</w:t>
      </w:r>
    </w:p>
    <w:p>
      <w:pPr>
        <w:spacing w:line="560" w:lineRule="exact"/>
        <w:ind w:firstLine="642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）《信用信息报告》可从“信用中国”网站（网址：https://www.creditchina.gov.cn/）下载；</w:t>
      </w:r>
    </w:p>
    <w:p>
      <w:pPr>
        <w:pStyle w:val="15"/>
        <w:spacing w:line="560" w:lineRule="exact"/>
        <w:ind w:firstLine="644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）《产品报价单》格式详见本公告附件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；</w:t>
      </w:r>
    </w:p>
    <w:p>
      <w:pPr>
        <w:pStyle w:val="15"/>
        <w:spacing w:line="560" w:lineRule="exact"/>
        <w:ind w:firstLine="644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）质保期和售后服务承诺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函（自拟）</w:t>
      </w:r>
    </w:p>
    <w:p>
      <w:pPr>
        <w:pStyle w:val="15"/>
        <w:spacing w:line="560" w:lineRule="exact"/>
        <w:ind w:firstLine="644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/>
          <w:color w:val="FF0000"/>
          <w:sz w:val="32"/>
          <w:szCs w:val="32"/>
        </w:rPr>
        <w:t>报价方提供上述的各种文件和资料须加盖报价方公章（鲜章）</w:t>
      </w:r>
      <w:r>
        <w:rPr>
          <w:rFonts w:hint="eastAsia" w:ascii="Times New Roman" w:hAnsi="Times New Roman" w:eastAsia="仿宋_GB2312" w:cs="Times New Roman"/>
          <w:b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color w:val="FF0000"/>
          <w:sz w:val="32"/>
          <w:szCs w:val="32"/>
          <w:lang w:val="en-US" w:eastAsia="zh-CN"/>
        </w:rPr>
        <w:t>如无公章（鲜章）可视为无效报价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。</w:t>
      </w:r>
    </w:p>
    <w:p>
      <w:pPr>
        <w:pStyle w:val="15"/>
        <w:spacing w:line="560" w:lineRule="exact"/>
        <w:ind w:firstLine="644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）所描述的报价方“公章”是指根据我国对公章的管理规定，用报价方法定主体行为名称制作的印章。</w:t>
      </w:r>
    </w:p>
    <w:p>
      <w:pPr>
        <w:wordWrap w:val="0"/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价方报价文件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dotted"/>
          <w:lang w:eastAsia="zh-CN"/>
        </w:rPr>
        <w:t>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密封包装和加签密封章（须与样品分开，单独密封包装）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备注公司名称，并以快递邮寄方式邮寄至询价方处，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收件地址为：广西梧州市工业园区一路一号广西田七家化实业有限公司，收件人：戴小姐，联系电话：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18707740365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如需咨询相关信息，欢迎致电洽谈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2"/>
      </w:pPr>
    </w:p>
    <w:p>
      <w:pPr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需求品种明细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供应商资质文件</w:t>
      </w: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 xml:space="preserve">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产品报价单</w:t>
      </w:r>
    </w:p>
    <w:p>
      <w:pPr>
        <w:spacing w:line="560" w:lineRule="exact"/>
        <w:ind w:firstLine="642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2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2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广西田七家化实业有限公司</w:t>
      </w:r>
    </w:p>
    <w:p>
      <w:pPr>
        <w:shd w:val="clear" w:color="auto" w:fill="FFFFFF"/>
        <w:wordWrap w:val="0"/>
        <w:adjustRightInd w:val="0"/>
        <w:snapToGrid w:val="0"/>
        <w:spacing w:line="560" w:lineRule="exact"/>
        <w:ind w:left="0" w:leftChars="0" w:firstLine="642" w:firstLineChars="200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AndChars" w:linePitch="312" w:charSpace="409"/>
        </w:sectPr>
      </w:pP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需求品种明细</w:t>
      </w:r>
    </w:p>
    <w:tbl>
      <w:tblPr>
        <w:tblStyle w:val="8"/>
        <w:tblW w:w="10097" w:type="dxa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981"/>
        <w:gridCol w:w="2657"/>
        <w:gridCol w:w="2019"/>
        <w:gridCol w:w="2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品名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执行标准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级别要求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需求数量（kg）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天然碳酸钙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QB/T 2317-2012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272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羧甲基纤维素钠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GB 2318-2012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十二烷基硫酸钠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QB/T 2900-2012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黄原胶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QB/T 4746-2014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食品级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聚乙二醇-400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GB 22114-2008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药用级别</w:t>
            </w:r>
          </w:p>
          <w:p>
            <w:pPr>
              <w:pStyle w:val="2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或牙膏级别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二氧化硅（综合型）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QB/T 2346-2007</w:t>
            </w:r>
          </w:p>
          <w:p>
            <w:pPr>
              <w:pStyle w:val="2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QB/T2346-2015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糖精钠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GB1886.18-2015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食品级别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天然薄荷脑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GB1886.199-2016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食品级别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硅酸钠（中性）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——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山梨（糖）醇液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QB/T 2335-2012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牙膏级别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0,000.00</w:t>
            </w:r>
          </w:p>
        </w:tc>
      </w:tr>
    </w:tbl>
    <w:p>
      <w:pPr>
        <w:pStyle w:val="2"/>
        <w:spacing w:line="560" w:lineRule="exact"/>
        <w:ind w:left="1446" w:hanging="1926" w:hangingChars="6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包装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验收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要求：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山梨（糖）醇液要求用专用槽罐车运输，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次运输约为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天然碳酸钙单次运输为34吨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聚乙二醇-400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硅酸钠（中性）等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液体，要求用食品桶装载；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.所有固体类的物料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如为单层包装，要求做到防潮、防虫、防污染，如有双层包装，除要求做到防潮、防虫、防污染，其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为食品级别。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AndChars" w:linePitch="312" w:charSpace="409"/>
        </w:sect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供应商资质文件</w:t>
      </w:r>
    </w:p>
    <w:p>
      <w:pPr>
        <w:pStyle w:val="2"/>
        <w:spacing w:line="560" w:lineRule="exact"/>
        <w:ind w:firstLine="322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（原辅料供应商）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生产型企业：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营业执照（三证合一）、食品/药品生产许可证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企业组织架构图、质量保证体系图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ISO证书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原辅料备案证明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所供应产品简单的生产工艺流程图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所供应产品关键生产设备仪器及检测设备一览表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所供应产品关键物料COA（出具自行检验的和第三方检验的）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Style w:val="25"/>
          <w:rFonts w:hint="eastAsia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所供应产品执行的质量标准、COA（出具自行检验的和第三方检验的）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开票资料（开票资料上写明所开户银行的行号）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经销型企业：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营业执照（三证合一）、食品/药品经营许可证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所经销产品所对应的生产型企业的资料（按上述生产型企业的提供）</w:t>
      </w: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开票资料（开票资料上写明所开户银行的行号）</w:t>
      </w:r>
    </w:p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tbl>
      <w:tblPr>
        <w:tblStyle w:val="8"/>
        <w:tblpPr w:leftFromText="180" w:rightFromText="180" w:vertAnchor="text" w:horzAnchor="page" w:tblpX="970" w:tblpY="438"/>
        <w:tblOverlap w:val="never"/>
        <w:tblW w:w="99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8"/>
        <w:gridCol w:w="946"/>
        <w:gridCol w:w="1392"/>
        <w:gridCol w:w="1275"/>
        <w:gridCol w:w="1232"/>
        <w:gridCol w:w="253"/>
        <w:gridCol w:w="1080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产品报价单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u w:val="single"/>
                <w:lang w:bidi="ar"/>
              </w:rPr>
              <w:t>广西田七家化实业有限公司：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产品基本信息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物料名称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规格、执行标准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无税单价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含税单价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最低起订量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产品有效期（年）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供货周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包装方式</w:t>
            </w:r>
          </w:p>
        </w:tc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报价有效期至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××年××月××日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发票类型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%增值税专用发票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付款方式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运输方式及费用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汽运，费用由供方负担</w:t>
            </w:r>
          </w:p>
          <w:p>
            <w:pPr>
              <w:pStyle w:val="2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卸货费由需方承担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交货地点</w:t>
            </w:r>
          </w:p>
        </w:tc>
        <w:tc>
          <w:tcPr>
            <w:tcW w:w="7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广西田七家化实业有限公司仓库（梧州市外向型工业园区1号）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报价人：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电话：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报价日期：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盖公章处</w:t>
            </w:r>
          </w:p>
        </w:tc>
      </w:tr>
    </w:tbl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6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GQ3MGQxMGEzMzE3ZTU3MDVjODRiNWY1MTBmYzkifQ=="/>
  </w:docVars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4DB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3F709F"/>
    <w:rsid w:val="004014F3"/>
    <w:rsid w:val="004147E7"/>
    <w:rsid w:val="00421DC6"/>
    <w:rsid w:val="0042525E"/>
    <w:rsid w:val="00461F80"/>
    <w:rsid w:val="00487E2E"/>
    <w:rsid w:val="004A661F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6267F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32D4"/>
    <w:rsid w:val="009943BE"/>
    <w:rsid w:val="009A0FF7"/>
    <w:rsid w:val="009B6E4A"/>
    <w:rsid w:val="009C3E87"/>
    <w:rsid w:val="009D2C8F"/>
    <w:rsid w:val="009D7BCC"/>
    <w:rsid w:val="009F0840"/>
    <w:rsid w:val="00A22A14"/>
    <w:rsid w:val="00A53560"/>
    <w:rsid w:val="00A63B52"/>
    <w:rsid w:val="00A666E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041F7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4457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1207B0A"/>
    <w:rsid w:val="02101D97"/>
    <w:rsid w:val="044E53CA"/>
    <w:rsid w:val="055E5078"/>
    <w:rsid w:val="06156B2B"/>
    <w:rsid w:val="06166A7C"/>
    <w:rsid w:val="06447858"/>
    <w:rsid w:val="081B1207"/>
    <w:rsid w:val="08702AE1"/>
    <w:rsid w:val="0C3E3331"/>
    <w:rsid w:val="0CDA1F1B"/>
    <w:rsid w:val="0CDB4FD8"/>
    <w:rsid w:val="0F227315"/>
    <w:rsid w:val="0F42107C"/>
    <w:rsid w:val="0FB733C1"/>
    <w:rsid w:val="0FE443F8"/>
    <w:rsid w:val="0FE62B43"/>
    <w:rsid w:val="115630D4"/>
    <w:rsid w:val="115A4E2F"/>
    <w:rsid w:val="122D7FA5"/>
    <w:rsid w:val="123233C7"/>
    <w:rsid w:val="13A20629"/>
    <w:rsid w:val="14C32CD4"/>
    <w:rsid w:val="1591403D"/>
    <w:rsid w:val="16472730"/>
    <w:rsid w:val="164D5521"/>
    <w:rsid w:val="16CE183A"/>
    <w:rsid w:val="16FC27C2"/>
    <w:rsid w:val="181978EC"/>
    <w:rsid w:val="18804C73"/>
    <w:rsid w:val="198417D8"/>
    <w:rsid w:val="198B4533"/>
    <w:rsid w:val="198F631F"/>
    <w:rsid w:val="1A511B25"/>
    <w:rsid w:val="1AA9281C"/>
    <w:rsid w:val="1B2D3AD3"/>
    <w:rsid w:val="1B3530C3"/>
    <w:rsid w:val="1C4A4031"/>
    <w:rsid w:val="1C765C9F"/>
    <w:rsid w:val="1D136DCE"/>
    <w:rsid w:val="1EAA5004"/>
    <w:rsid w:val="1ECA0003"/>
    <w:rsid w:val="1EFF75F7"/>
    <w:rsid w:val="1F5B7E5A"/>
    <w:rsid w:val="20960E59"/>
    <w:rsid w:val="20B5279E"/>
    <w:rsid w:val="21C97934"/>
    <w:rsid w:val="231F4BD6"/>
    <w:rsid w:val="23C6547F"/>
    <w:rsid w:val="24360051"/>
    <w:rsid w:val="262C03D7"/>
    <w:rsid w:val="269174F8"/>
    <w:rsid w:val="2888016E"/>
    <w:rsid w:val="293154CF"/>
    <w:rsid w:val="2AE16C55"/>
    <w:rsid w:val="2AE93497"/>
    <w:rsid w:val="2CF0507D"/>
    <w:rsid w:val="2E3F40AF"/>
    <w:rsid w:val="2F02701E"/>
    <w:rsid w:val="2F8A246F"/>
    <w:rsid w:val="30CB2AE7"/>
    <w:rsid w:val="30DB4584"/>
    <w:rsid w:val="33297996"/>
    <w:rsid w:val="334D0D84"/>
    <w:rsid w:val="355718E2"/>
    <w:rsid w:val="35AC2AA4"/>
    <w:rsid w:val="36F837D3"/>
    <w:rsid w:val="384265E9"/>
    <w:rsid w:val="3BEB1F0B"/>
    <w:rsid w:val="3C590BA3"/>
    <w:rsid w:val="3E235EE6"/>
    <w:rsid w:val="3E406C9E"/>
    <w:rsid w:val="3FA645E7"/>
    <w:rsid w:val="41242A94"/>
    <w:rsid w:val="419743BC"/>
    <w:rsid w:val="43486471"/>
    <w:rsid w:val="459D2857"/>
    <w:rsid w:val="46693659"/>
    <w:rsid w:val="46C41873"/>
    <w:rsid w:val="46D113FB"/>
    <w:rsid w:val="47843DDF"/>
    <w:rsid w:val="48C37647"/>
    <w:rsid w:val="4B606FEF"/>
    <w:rsid w:val="4CE1773D"/>
    <w:rsid w:val="4E8E63FF"/>
    <w:rsid w:val="4ED10F45"/>
    <w:rsid w:val="4EE2124F"/>
    <w:rsid w:val="4EFA1F0A"/>
    <w:rsid w:val="5062774C"/>
    <w:rsid w:val="5080549C"/>
    <w:rsid w:val="528B4EC4"/>
    <w:rsid w:val="53340A2B"/>
    <w:rsid w:val="53EA1333"/>
    <w:rsid w:val="54D54C36"/>
    <w:rsid w:val="54F17D88"/>
    <w:rsid w:val="55690910"/>
    <w:rsid w:val="55EC3194"/>
    <w:rsid w:val="55F66959"/>
    <w:rsid w:val="56163787"/>
    <w:rsid w:val="56896DE6"/>
    <w:rsid w:val="57BE3237"/>
    <w:rsid w:val="58D178AC"/>
    <w:rsid w:val="59645452"/>
    <w:rsid w:val="5A1E1882"/>
    <w:rsid w:val="5A2354B2"/>
    <w:rsid w:val="5AEA3A79"/>
    <w:rsid w:val="5CB66CF5"/>
    <w:rsid w:val="5CE17403"/>
    <w:rsid w:val="5CE77DE9"/>
    <w:rsid w:val="5D994734"/>
    <w:rsid w:val="5E732A2D"/>
    <w:rsid w:val="5E8053D8"/>
    <w:rsid w:val="5FF27C2E"/>
    <w:rsid w:val="5FF32E29"/>
    <w:rsid w:val="61940AE1"/>
    <w:rsid w:val="632E50D0"/>
    <w:rsid w:val="63586B2E"/>
    <w:rsid w:val="647F6B9E"/>
    <w:rsid w:val="650F6DC7"/>
    <w:rsid w:val="65526DDB"/>
    <w:rsid w:val="65CF4B34"/>
    <w:rsid w:val="672638A0"/>
    <w:rsid w:val="67EA2E7A"/>
    <w:rsid w:val="694461A6"/>
    <w:rsid w:val="6A3721A2"/>
    <w:rsid w:val="6A5D6175"/>
    <w:rsid w:val="6ABF6769"/>
    <w:rsid w:val="6BCA7384"/>
    <w:rsid w:val="6C7A4815"/>
    <w:rsid w:val="6D75388B"/>
    <w:rsid w:val="6D8C58D0"/>
    <w:rsid w:val="6DE370A7"/>
    <w:rsid w:val="6E0D66EC"/>
    <w:rsid w:val="6E15082A"/>
    <w:rsid w:val="6FF51DDE"/>
    <w:rsid w:val="70A445AB"/>
    <w:rsid w:val="714D28E3"/>
    <w:rsid w:val="72864866"/>
    <w:rsid w:val="73E73BCF"/>
    <w:rsid w:val="75961905"/>
    <w:rsid w:val="76016F1A"/>
    <w:rsid w:val="77C81603"/>
    <w:rsid w:val="784D426A"/>
    <w:rsid w:val="787E5CBE"/>
    <w:rsid w:val="7B8D6489"/>
    <w:rsid w:val="7C2D5D20"/>
    <w:rsid w:val="7C2D5D7A"/>
    <w:rsid w:val="7C924FD9"/>
    <w:rsid w:val="7CF3220F"/>
    <w:rsid w:val="7D3345D4"/>
    <w:rsid w:val="7D5F1EFE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2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3">
    <w:name w:val="Normal_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2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普通(网站) Char"/>
    <w:link w:val="7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561D9-7543-43E4-958E-99B0084F2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2731</Words>
  <Characters>3090</Characters>
  <Lines>39</Lines>
  <Paragraphs>11</Paragraphs>
  <TotalTime>40</TotalTime>
  <ScaleCrop>false</ScaleCrop>
  <LinksUpToDate>false</LinksUpToDate>
  <CharactersWithSpaces>3188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PPP</cp:lastModifiedBy>
  <dcterms:modified xsi:type="dcterms:W3CDTF">2023-03-06T08:47:48Z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7BBA2177E0394371BB75D8A169881705</vt:lpwstr>
  </property>
</Properties>
</file>